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5C845603" w:rsidR="00914466" w:rsidRPr="00ED36D4" w:rsidRDefault="00620EDB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511F09EF" w:rsidR="00914466" w:rsidRPr="00ED36D4" w:rsidRDefault="00620EDB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0E4C7C99" w:rsidR="00914466" w:rsidRPr="002D602F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Федерации:</w:t>
      </w:r>
    </w:p>
    <w:p w14:paraId="1173DE29" w14:textId="43A038F7"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2D602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42528CDF"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счета:</w:t>
      </w:r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3F8EC688" w:rsidR="00914466" w:rsidRPr="002D602F" w:rsidRDefault="00620EDB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1D1EB63B" w:rsidR="00914466" w:rsidRPr="002D602F" w:rsidRDefault="00620EDB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к</w:t>
      </w:r>
      <w:r w:rsidR="00F32856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2D602F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2D602F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2D602F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2D602F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2D602F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2D602F" w14:paraId="325170A1" w14:textId="58C13AA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2D602F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2D602F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2D602F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3E41BFEA" w:rsidR="001055C8" w:rsidRPr="007616D5" w:rsidRDefault="003D08B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7616D5">
              <w:rPr>
                <w:rFonts w:ascii="Times New Roman" w:hAnsi="Times New Roman" w:cs="Times New Roman"/>
                <w:sz w:val="16"/>
                <w:szCs w:val="20"/>
              </w:rPr>
              <w:t xml:space="preserve"> НКО-ЦК «СПБ Клиринг» (АО)</w:t>
            </w:r>
          </w:p>
        </w:tc>
      </w:tr>
      <w:tr w:rsidR="001055C8" w:rsidRPr="00ED36D4" w14:paraId="3DB7C766" w14:textId="3F45AAFF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2568BB81" w:rsidR="001055C8" w:rsidRPr="00ED36D4" w:rsidRDefault="00620EDB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1541AA1E" w:rsidR="001055C8" w:rsidRPr="00ED36D4" w:rsidRDefault="00620EDB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2CC97D84" w:rsidR="001055C8" w:rsidRPr="00ED36D4" w:rsidRDefault="00620EDB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391B55C5" w:rsidR="001055C8" w:rsidRPr="002C67EF" w:rsidRDefault="00620EDB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61F0A33C" w:rsidR="001055C8" w:rsidRPr="00ED36D4" w:rsidRDefault="00620EDB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939E008" w:rsidR="001055C8" w:rsidRPr="00ED36D4" w:rsidRDefault="00620EDB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A9F7C8C" w:rsidR="001055C8" w:rsidRPr="00ED36D4" w:rsidRDefault="00620EDB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02B6EEFD" w:rsidR="001055C8" w:rsidRPr="002C67EF" w:rsidRDefault="00620EDB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0489B26C" w:rsidR="00914466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6DD0CC8" w14:textId="3550B6B9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16"/>
        </w:rPr>
        <w:t>Информация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16"/>
        </w:rPr>
        <w:t>» услуг на финансовых рынках</w:t>
      </w:r>
      <w:r w:rsidRPr="0022586C">
        <w:rPr>
          <w:rStyle w:val="af1"/>
          <w:rFonts w:ascii="Times New Roman" w:hAnsi="Times New Roman" w:cs="Times New Roman"/>
          <w:b/>
          <w:sz w:val="16"/>
          <w:szCs w:val="16"/>
        </w:rPr>
        <w:footnoteReference w:id="1"/>
      </w:r>
      <w:r w:rsidRPr="0022586C">
        <w:rPr>
          <w:rFonts w:ascii="Times New Roman" w:hAnsi="Times New Roman" w:cs="Times New Roman"/>
          <w:b/>
          <w:sz w:val="16"/>
          <w:szCs w:val="20"/>
        </w:rPr>
        <w:t>:</w:t>
      </w:r>
    </w:p>
    <w:p w14:paraId="49403EAE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40B173E0" w14:textId="0FE993C8" w:rsidR="003F1FA1" w:rsidRPr="0022586C" w:rsidRDefault="00E602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60279">
        <w:rPr>
          <w:rFonts w:ascii="Times New Roman" w:hAnsi="Times New Roman" w:cs="Times New Roman"/>
          <w:sz w:val="16"/>
          <w:szCs w:val="20"/>
        </w:rPr>
        <w:t>Банк принимает на себя обязательства предоставлять за вознаграждение услуги в объеме, на условиях и в порядке, предусмотренном Регламентом.</w:t>
      </w:r>
      <w:r w:rsidRPr="0022586C">
        <w:rPr>
          <w:rFonts w:ascii="Times New Roman" w:hAnsi="Times New Roman" w:cs="Times New Roman"/>
          <w:sz w:val="16"/>
          <w:szCs w:val="20"/>
        </w:rPr>
        <w:t xml:space="preserve"> Порядок</w:t>
      </w:r>
      <w:r w:rsidR="003F1FA1" w:rsidRPr="0022586C">
        <w:rPr>
          <w:rFonts w:ascii="Times New Roman" w:hAnsi="Times New Roman" w:cs="Times New Roman"/>
          <w:sz w:val="16"/>
          <w:szCs w:val="20"/>
        </w:rPr>
        <w:t xml:space="preserve"> оказания Банком брокерских услуг на финансовых рынках в соответствии с имеющимися лицензиями и иные условия брокерского договора, заключаемого между Банком и Клиентами, зафиксированы в Регламенте оказания услуг на финансовых рынках ПАО «</w:t>
      </w:r>
      <w:proofErr w:type="spellStart"/>
      <w:r w:rsidR="003F1FA1"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="003F1FA1" w:rsidRPr="0022586C">
        <w:rPr>
          <w:rFonts w:ascii="Times New Roman" w:hAnsi="Times New Roman" w:cs="Times New Roman"/>
          <w:sz w:val="16"/>
          <w:szCs w:val="20"/>
        </w:rPr>
        <w:t>» (далее – Регламент), который разработан на основании Федерального закона Российской Федерации от 22.04.1996 № 39-ФЗ «О рынке ценных бумаг», иных действующих нормативно–правовых актов РФ, стандартов саморегулируемой организации на финансовом рынке, членом которой является Банк, Правилами Торговой системы, внутренних документов Банка.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</w:p>
    <w:p w14:paraId="72B729F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На основании брокерского договора Банк предоставляет Клиентам услуги по совершению по поручению и за счет Клиента сделок с ценными бумагами, срочных сделок, биржевых сделок по покупке и продаже иностранной валюты и драгоценных металлов, заключение сделок ПФИ, совершение иных юридических и фактических действий, оговоренных в Регламенте. Указанные сделки заключаются в интересах Клиента на соответствующих секциях ПАО Московская Биржа, ПАО «СПБ Биржа», а также Внебиржевом рынке и иных торговых систем по усмотрению Банка. </w:t>
      </w:r>
    </w:p>
    <w:p w14:paraId="77D207E0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Индивидуальный инвестиционный счет (далее - ИИС) открывается Клиенту в порядке, предусмотренном в пункте 2.1.4 Регламента, путем подачи в Банк Заявления на оказание услуг на финансовых рынках (Приложение № 2) о присоединении к Регламенту в целях открытия и ведения ИИС. Особенности открытия и ведения Банком ИИС установлены в Приложении № 10 к Регламенту.</w:t>
      </w:r>
    </w:p>
    <w:p w14:paraId="4F85151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Услуги инвестиционного консультирования в соответствии с Регламентом предоставляются на основании заключенного между Банком и Клиентами Договора об инвестиционном консультировании.</w:t>
      </w:r>
    </w:p>
    <w:p w14:paraId="3F86B872" w14:textId="3AE4392F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по поручению Клиента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предназначенными для квалифицированных инвесторов, только если Клиент, за счет которого совершается такая сделка (заключается такой договор), является квалифицированным инвестором в силу законодательства РФ или признан Банком квалифицированным инвестором. При этом ценная бумага или производный финансовый инструмент считаются предназначенными для квалифицированных инвесторов, если в соответствии с нормативными правовыми актами федерального органа исполнительной власти на рынке ценных бумаг сделки с такими ценными бумагами (договоры, являющиеся такими производными финансовыми инструментами) могут совершаться (заключаться) исключительно квалифицированными инвесторами или за счет квалифицированных инвесторов.</w:t>
      </w:r>
    </w:p>
    <w:p w14:paraId="2E5EC3E2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отнесения и исключения Клиента к (из) квалифицированным инвесторам установлен Регламентом ПАО «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>» о порядке признания лиц квалифицированными инвесторами, опубликованным на Сайте Банка: https://sovcombank.ru/corporate/broker/qualified-investor.</w:t>
      </w:r>
    </w:p>
    <w:p w14:paraId="048D801C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проводит тестирование Клиента, не являющегося квалифицированным инвестором, в целях совершения (заключения) сделок (договоров), требующих проведения тестирования, в соответствии с Федеральным законом от 22 апреля 1996 г. № 39-ФЗ «О рынке ценных бумаг» и Базовым стандартом защиты прав и интересов физических и юридических лиц — получателей финансовых услуг, оказываемых членами саморегулируемых организаций в сфере финансового рынка, объединяющих брокеров.</w:t>
      </w:r>
    </w:p>
    <w:p w14:paraId="43785ED4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Обращаем внимание Клиента, что такие сделки являются более рисковыми, чем сделки с инструментами, доступными для неквалифицированных инвесторов, по которым не требуются прохождения тестирования.</w:t>
      </w:r>
    </w:p>
    <w:p w14:paraId="7BDACEBE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использовать в своих интересах денежные средства и (или) ценные бумаги, находящиеся на Брокерском счете Клиентов, при условии ознакомления таких Клиентов с Декларацией о рисках, связанных с использованием Брокером в своих интересах денежных средств и (или) ценных бумаг Клиента (Приложение 7 к Регламенту). Брокер гарантирует Клиенту исполнение его поручений за счет указанных денежных средств и (или) ценных бумаг или их возврат по требованию Клиента. При этом прибыль, полученная в результате использования Банком денежных средств и (или) ценных бумаг Клиента, является собственностью Банка в полном объеме.</w:t>
      </w:r>
    </w:p>
    <w:p w14:paraId="143A462A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Брокер не менее одного раза в год информирует Клиентов о праве подать в Банк заявление об отказе от предоставления Брокеру права использования в своих интересах денежных средств и (или) ценных бумаг клиента. Способ и форма направления Клиентом такого заявления в адрес Банка, определяются в порядке, предусмотренном разделом 3 Регламента. Банк принимает такие Заявления на бумажном носителе по адресу: 123100, г. Москва, Краснопресненская набережная, д. 14, стр. 1.</w:t>
      </w:r>
    </w:p>
    <w:p w14:paraId="63EF37A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Поручения на совершение сделок с Финансовыми активами направляются Клиентами в Банк каким-либо из нижеуказанных способов по выбору Клиента:</w:t>
      </w:r>
    </w:p>
    <w:p w14:paraId="6B36AE19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путем предоставления подлинных документов на бумажных носителях, подписанных уполномоченным лицом (пункт 3.2. Регламента);</w:t>
      </w:r>
    </w:p>
    <w:p w14:paraId="2BC1EA45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телефонной связи с последующим их подтверждением посредством подписания уполномоченным лицом соответствующих реестров в порядке, предусмотренном в пунктах 3.3.17, 3.3.18 Регламента;</w:t>
      </w:r>
    </w:p>
    <w:p w14:paraId="49453634" w14:textId="7118C94A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ЭСУД, на основании отдельных договоров на обслуживание Клиентов в соответствующей ЭСУД, заключенных между Банком и Клиентом (Приложение № 9);</w:t>
      </w:r>
    </w:p>
    <w:p w14:paraId="7F3D3A42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с использованием электронной почты в виде сканированных документов (подписанных уполномоченным лицом и заверенных печатью юридических лиц) с последующим предоставлением оригиналов (п. 3.4. Регламента);</w:t>
      </w:r>
    </w:p>
    <w:p w14:paraId="6AF1003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 через Систему ДБО по дистанционным каналам обслуживания в виде электронных документов, подписанных электронной подписью, в том числе простой электронной подписью, а также в формате .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pdf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 xml:space="preserve"> электронными сообщениями, подписанными простой электронной подписью (при наличии у Клиента действующего Договора ДБО).</w:t>
      </w:r>
    </w:p>
    <w:p w14:paraId="3AA24321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lastRenderedPageBreak/>
        <w:t>Все поручения Клиента действительны в течение 1 (одного) рабочего дня с даты принятия, если иной срок поручения не оговорен в Регламенте или в самом поручении. Банк исполняет Поручения Клиента на покупку Ценных бумаг, Драгоценных металлов в течение срока действия Поручения при наличии к моменту исполнения Поручения остатка денежных средств на счете Клиента, достаточного для исполнения Поручения с учетом вознаграждения Банку, Расчетным организациям, ТС, Расчетному депозитарию (за исключением случаев заключения Необеспеченных сделок (в соответствии разделом 10 Регламента).</w:t>
      </w:r>
    </w:p>
    <w:p w14:paraId="7DF61A4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При недостаточности активов на счете Клиента Банк может предоставить Клиенту в заем средства за дополнительную плату (раздел 10 Регламента. Особенности совершения необеспеченных сделок). </w:t>
      </w:r>
    </w:p>
    <w:p w14:paraId="1E5B0E68" w14:textId="48B49107" w:rsidR="00D41D4A" w:rsidRPr="0055412F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С Тарифами Банка можно ознакомиться по </w:t>
      </w:r>
      <w:r w:rsidRPr="00D41D4A">
        <w:rPr>
          <w:rFonts w:ascii="Times New Roman" w:hAnsi="Times New Roman" w:cs="Times New Roman"/>
          <w:sz w:val="16"/>
          <w:szCs w:val="16"/>
        </w:rPr>
        <w:t xml:space="preserve">ссылке </w:t>
      </w:r>
      <w:hyperlink r:id="rId8" w:anchor="tarif" w:history="1">
        <w:r w:rsidR="00D41D4A" w:rsidRPr="0055412F">
          <w:rPr>
            <w:rFonts w:ascii="Times New Roman" w:hAnsi="Times New Roman" w:cs="Times New Roman"/>
            <w:sz w:val="16"/>
            <w:szCs w:val="16"/>
          </w:rPr>
          <w:t>https://sovcombank.ru/pages/reglamenti-i-dokumentatsiya#tarif</w:t>
        </w:r>
      </w:hyperlink>
    </w:p>
    <w:p w14:paraId="789D41CA" w14:textId="7B331BFC" w:rsidR="003F1FA1" w:rsidRPr="0022586C" w:rsidRDefault="007B59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7B5979">
        <w:rPr>
          <w:rFonts w:ascii="Times New Roman" w:hAnsi="Times New Roman" w:cs="Times New Roman"/>
          <w:sz w:val="16"/>
          <w:szCs w:val="20"/>
        </w:rPr>
        <w:t>Т</w:t>
      </w:r>
      <w:r>
        <w:rPr>
          <w:rFonts w:ascii="Times New Roman" w:hAnsi="Times New Roman" w:cs="Times New Roman"/>
          <w:sz w:val="16"/>
          <w:szCs w:val="20"/>
        </w:rPr>
        <w:t>ариф, применимый к заключаемому Клиентом Договору, указан в настоящем Заявлении в пункте «</w:t>
      </w:r>
      <w:r w:rsidRPr="002D602F">
        <w:rPr>
          <w:rFonts w:ascii="Times New Roman" w:hAnsi="Times New Roman" w:cs="Times New Roman"/>
          <w:sz w:val="16"/>
          <w:szCs w:val="20"/>
        </w:rPr>
        <w:t>Брокерский тарифный план</w:t>
      </w:r>
      <w:r>
        <w:rPr>
          <w:rFonts w:ascii="Times New Roman" w:hAnsi="Times New Roman" w:cs="Times New Roman"/>
          <w:sz w:val="16"/>
          <w:szCs w:val="20"/>
        </w:rPr>
        <w:t>».</w:t>
      </w:r>
    </w:p>
    <w:p w14:paraId="28AE0097" w14:textId="79EFF96B" w:rsidR="00BF3E8F" w:rsidRDefault="00BF3E8F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И</w:t>
      </w:r>
      <w:r w:rsidRPr="00BF3E8F">
        <w:rPr>
          <w:rFonts w:ascii="Times New Roman" w:hAnsi="Times New Roman" w:cs="Times New Roman"/>
          <w:sz w:val="16"/>
          <w:szCs w:val="20"/>
        </w:rPr>
        <w:t>нвестиционная деятельность</w:t>
      </w:r>
      <w:bookmarkStart w:id="0" w:name="_GoBack"/>
      <w:bookmarkEnd w:id="0"/>
      <w:r w:rsidRPr="00BF3E8F">
        <w:rPr>
          <w:rFonts w:ascii="Times New Roman" w:hAnsi="Times New Roman" w:cs="Times New Roman"/>
          <w:sz w:val="16"/>
          <w:szCs w:val="20"/>
        </w:rPr>
        <w:t xml:space="preserve"> сопряжена с риском неполучения ожидаемого дохода и потери части или всей суммы инвестированных средств</w:t>
      </w:r>
      <w:r w:rsidR="00C610C2">
        <w:rPr>
          <w:rFonts w:ascii="Times New Roman" w:hAnsi="Times New Roman" w:cs="Times New Roman"/>
          <w:sz w:val="16"/>
          <w:szCs w:val="20"/>
        </w:rPr>
        <w:t xml:space="preserve">, а в отдельных </w:t>
      </w:r>
      <w:r>
        <w:rPr>
          <w:rFonts w:ascii="Times New Roman" w:hAnsi="Times New Roman" w:cs="Times New Roman"/>
          <w:sz w:val="16"/>
          <w:szCs w:val="20"/>
        </w:rPr>
        <w:t xml:space="preserve">случаях </w:t>
      </w:r>
      <w:r w:rsidR="00C610C2">
        <w:rPr>
          <w:rFonts w:ascii="Times New Roman" w:hAnsi="Times New Roman" w:cs="Times New Roman"/>
          <w:sz w:val="16"/>
          <w:szCs w:val="20"/>
        </w:rPr>
        <w:t xml:space="preserve">с риском формирования задолженности по заключенным сделкам (договорам) и необходимости её погашения в порядке, установленном Регламентом. </w:t>
      </w:r>
    </w:p>
    <w:p w14:paraId="2F2A21DD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предоставляет Клиенту Отчеты Брокера следующими способами: по электронной почте, на бумажном носителе (по запросу Клиента).</w:t>
      </w:r>
    </w:p>
    <w:p w14:paraId="7E61D7AD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16"/>
          <w:szCs w:val="20"/>
        </w:rPr>
      </w:pPr>
      <w:r w:rsidRPr="0022586C">
        <w:rPr>
          <w:rFonts w:ascii="Times New Roman" w:hAnsi="Times New Roman" w:cs="Times New Roman"/>
          <w:b/>
          <w:i/>
          <w:sz w:val="16"/>
          <w:szCs w:val="20"/>
        </w:rPr>
        <w:t>Положение об ограничении ответственности</w:t>
      </w:r>
    </w:p>
    <w:p w14:paraId="0A9BF120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отвечает перед Клиентом за неисполнение и/или ненадлежащее исполнение третьим лицом Сделки, заключенной Банком по Поручению Клиента.</w:t>
      </w:r>
    </w:p>
    <w:p w14:paraId="1B7E140C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перед Клиентом за убытки, причиненные действием или бездействием Банка, обоснованно полагавшегося на Поручения Клиента и его уполномоченных лиц, а также за информацию, утерявшую свою достоверность из-за несвоевременного доведения ее Клиентом до Банка. Банк не несет ответственности за неисполнение Поручений Клиента, направленных Банку с нарушением сроков и процедур, предусмотренных Регламентом.</w:t>
      </w:r>
    </w:p>
    <w:p w14:paraId="4ED3C56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неисполнение Поручений Клиента, если такое неисполнение стало следствием аварии (сбоев в работе) компьютерных сетей, силовых электрических сетей или систем электросвязи, непосредственно используемых для приема Поручений или обеспечения иных процедур торговли Ценными бумагами, а также действий третьих лиц, в том числе организаций, обеспечивающих торговые и расчетно-клиринговые процедуры в используемых ТС. Банк не несет ответственности за неисполнение поручений Клиента, в случае если отказ в выполнении операции осуществляется им в соответствии с Федеральным законом 115-ФЗ, в том числе на основании пункта 11 статьи 7 указанного закона.</w:t>
      </w:r>
    </w:p>
    <w:p w14:paraId="2D4917B3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сохранность денежных средств, драгоценных металлов и Ценных бумаг Клиента в случае банкротства (неспособности выполнить свои обязательства) Торговых систем, включая банкротство организаций, обеспечивающих расчетно-клиринговые процедуры в этих Торговых системах, если открытие счетов в этих организациях и использование их для хранения Ценных бумаг, драгоценных металлов и денежных средств Клиента обусловлено необходимостью выполнения Поручений Клиента и предусмотрено Законодательством</w:t>
      </w:r>
    </w:p>
    <w:p w14:paraId="681EFD99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материалов, предоставляемых Банком. Клиент информирован, что инвестиционная деятельность сопряжена с риском неполучения ожидаемого дохода и потери части или всей суммы инвестированных средств.</w:t>
      </w:r>
    </w:p>
    <w:p w14:paraId="07F3D30B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убытки Клиента, которые могут возникнуть при принудительном закрытии Позиций по Срочным Сделкам Торговой системой в соответствии с Документами ТС, произошедшем в связи с неисполнением обязательств Клиента.</w:t>
      </w:r>
    </w:p>
    <w:p w14:paraId="2FF3F529" w14:textId="4003BA03" w:rsidR="003F1FA1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Ответственность за совершение действий, Сделок, операций с Иностранными ценными бумагами/НФИ, их последствия и соответствие указанных действий, Сделок, операций, последствий требования нормативных правовых актов Российской Федерации, страны выпуска, страны обращения Иностранных ценных бумаг/НФИ, страны места совершения корпоративного действия с Иностранными ценными бумагами/НФИ, условиям выпуска и обращения Иностранных ценных бумаг/НФИ несет Клиент.</w:t>
      </w:r>
    </w:p>
    <w:p w14:paraId="6A03D962" w14:textId="24CE32A9" w:rsidR="000E08EB" w:rsidRPr="0022586C" w:rsidRDefault="000E08EB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0E08EB">
        <w:rPr>
          <w:rFonts w:ascii="Times New Roman" w:hAnsi="Times New Roman" w:cs="Times New Roman"/>
          <w:sz w:val="16"/>
          <w:szCs w:val="20"/>
        </w:rPr>
        <w:t>Стороны освобождаются от ответственности за частичное или полное неисполнение обязательств, предусмотренных Регламентом, если оно явилось следствием обстоятельств непреодолимой силы, возникших после заключения Договора, в результате событий чрезвычайного характера, которые они не могли ни предвидеть, ни предотвратить разумными мерами. Сторона, для которой создалась невозможность исполнения обязательств, предусмотренных Регламентом, должна не позднее 3 (трех) рабочих дней уведомить другую сторону о наступлении обстоятельств непреодолимой силы и об их прекращении в порядке, установленном разделом 17.4 Регламента.</w:t>
      </w:r>
    </w:p>
    <w:p w14:paraId="3D10E72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Во всех случаях Клиент самостоятельно несет полную ответственность за соблюдение действующего налогового законодательства Российской̆ Федерации.</w:t>
      </w:r>
    </w:p>
    <w:p w14:paraId="4C80CB63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Если в соответствии с положениями действующего законодательства Российской Федерации на Банк возложены обязанности налогового агента, Банк исчисляет, удерживает и перечисляет суммы соответствующих налогов. Суммы налога удерживаются в порядке и по действующим ставкам, установленным Налоговым кодексом Российской Федерации или другими нормативными актами Российской Федерации.</w:t>
      </w:r>
    </w:p>
    <w:p w14:paraId="0407775A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Банк исчисляет и удерживает: </w:t>
      </w:r>
    </w:p>
    <w:p w14:paraId="2D7A57C4" w14:textId="74F02088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• налог на доходы физических лиц (НДФЛ)</w:t>
      </w:r>
      <w:r w:rsidR="000E08EB">
        <w:rPr>
          <w:rFonts w:ascii="Times New Roman" w:hAnsi="Times New Roman" w:cs="Times New Roman"/>
          <w:sz w:val="16"/>
          <w:szCs w:val="20"/>
        </w:rPr>
        <w:t xml:space="preserve"> в отношении</w:t>
      </w:r>
      <w:r w:rsidRPr="0022586C">
        <w:rPr>
          <w:rFonts w:ascii="Times New Roman" w:hAnsi="Times New Roman" w:cs="Times New Roman"/>
          <w:sz w:val="16"/>
          <w:szCs w:val="20"/>
        </w:rPr>
        <w:t xml:space="preserve"> Клиенто</w:t>
      </w:r>
      <w:r w:rsidR="000E08EB">
        <w:rPr>
          <w:rFonts w:ascii="Times New Roman" w:hAnsi="Times New Roman" w:cs="Times New Roman"/>
          <w:sz w:val="16"/>
          <w:szCs w:val="20"/>
        </w:rPr>
        <w:t xml:space="preserve">в - </w:t>
      </w:r>
      <w:r w:rsidRPr="0022586C">
        <w:rPr>
          <w:rFonts w:ascii="Times New Roman" w:hAnsi="Times New Roman" w:cs="Times New Roman"/>
          <w:sz w:val="16"/>
          <w:szCs w:val="20"/>
        </w:rPr>
        <w:t>физическ</w:t>
      </w:r>
      <w:r w:rsidR="000E08EB">
        <w:rPr>
          <w:rFonts w:ascii="Times New Roman" w:hAnsi="Times New Roman" w:cs="Times New Roman"/>
          <w:sz w:val="16"/>
          <w:szCs w:val="20"/>
        </w:rPr>
        <w:t>их</w:t>
      </w:r>
      <w:r w:rsidRPr="0022586C">
        <w:rPr>
          <w:rFonts w:ascii="Times New Roman" w:hAnsi="Times New Roman" w:cs="Times New Roman"/>
          <w:sz w:val="16"/>
          <w:szCs w:val="20"/>
        </w:rPr>
        <w:t xml:space="preserve"> лиц (резидент / нерезидент)</w:t>
      </w:r>
      <w:r w:rsidR="000E08EB">
        <w:rPr>
          <w:rFonts w:ascii="Times New Roman" w:hAnsi="Times New Roman" w:cs="Times New Roman"/>
          <w:sz w:val="16"/>
          <w:szCs w:val="20"/>
        </w:rPr>
        <w:t>.</w:t>
      </w:r>
    </w:p>
    <w:p w14:paraId="4985CA27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споры и разногласия между Банком и Клиентом по поводу предоставления Банком услуг на рынке ценных бумаг и совершения иных действий, предусмотренных брокерским договором, решаются путем переговоров и в претензионном досудебном порядке. А при не достижении согласия – в судебном порядке. </w:t>
      </w:r>
    </w:p>
    <w:p w14:paraId="2CA90CBE" w14:textId="51A9F4B6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Обращения (жалобы) могут быть направлены Клиентом Банку в виде сообщения через сервис «Чат» Системы ДБО или на бумажном носителе в простой письменной форме по адресу: 123100, г. Москва, Краснопресненская набережная, д. 14, стр. 1.</w:t>
      </w:r>
      <w:r w:rsidR="007B5979">
        <w:rPr>
          <w:rFonts w:ascii="Times New Roman" w:hAnsi="Times New Roman" w:cs="Times New Roman"/>
          <w:sz w:val="16"/>
          <w:szCs w:val="20"/>
        </w:rPr>
        <w:t xml:space="preserve"> </w:t>
      </w:r>
      <w:r w:rsidR="007B5979" w:rsidRPr="007B5979">
        <w:rPr>
          <w:rFonts w:ascii="Times New Roman" w:hAnsi="Times New Roman" w:cs="Times New Roman"/>
          <w:sz w:val="16"/>
          <w:szCs w:val="20"/>
        </w:rPr>
        <w:t>Клиент может обратиться с обращением (жалобой) в саморегулируемую организацию в сфере финансового рынка, членом которой является Банк, и/или Банк России. По запросу Клиента Банк предоставляет информацию о способах и адресах направления обращений (жалоб) в саморегулируемые организации в сфере финансового рынка, членом которых является Банк, и/или в Банк России, адреса и телефоны которых Клиент также может получить самостоятельно на сайтах этих организаций в разделе «контакты».</w:t>
      </w:r>
    </w:p>
    <w:p w14:paraId="42C4CD7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и сроки расторжения брокерского договора установлены в разделе 17.6 Регламента. Клиент имеет право расторгнуть Договор с Банком в одностороннем порядке путем направления последнему Заявления на прекращение предоставления услуг на финансовых рынках (Приложение 28 Регламента) или Заявления о расторжении Брокерского договора с одновременным переводом денежных средств (Приложение 28В Регламента) по адресу Уполномоченного офиса Банка, не позднее, чем за 14 (Четырнадцать) календарных дней до предполагаемой даты расторжения. По согласованию с Банком возможно расторжение Договора (по инициативе Клиента) ранее данного срока.</w:t>
      </w:r>
    </w:p>
    <w:p w14:paraId="293626FA" w14:textId="3B1CF638" w:rsidR="001332E4" w:rsidRPr="0022586C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имеет право расторгнуть Договор с Клиентом в одностороннем порядке путем направления последнему письменного уведомления по адресу, указанному в Анкете Клиента не позднее, чем за 30 (Тридцать) календарных дней до предполагаемой даты расторжения.</w:t>
      </w:r>
    </w:p>
    <w:p w14:paraId="5DA91400" w14:textId="77777777" w:rsidR="001332E4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  <w:sectPr w:rsidR="001332E4" w:rsidSect="001332E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707" w:bottom="1134" w:left="1134" w:header="708" w:footer="0" w:gutter="0"/>
          <w:cols w:space="708"/>
          <w:docGrid w:linePitch="360"/>
        </w:sectPr>
      </w:pPr>
      <w:r w:rsidRPr="0022586C">
        <w:rPr>
          <w:rFonts w:ascii="Times New Roman" w:hAnsi="Times New Roman" w:cs="Times New Roman"/>
          <w:sz w:val="16"/>
          <w:szCs w:val="20"/>
        </w:rPr>
        <w:t>По договорённости сторон сроки могут быть изменены.</w:t>
      </w:r>
    </w:p>
    <w:p w14:paraId="419DFE70" w14:textId="77777777"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20"/>
        </w:rPr>
        <w:lastRenderedPageBreak/>
        <w:t>Настоящим заявляю об акцепте Регламента оказания услуг на финансовых рынках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20"/>
        </w:rPr>
        <w:t>»</w:t>
      </w:r>
      <w:r w:rsidRPr="00ED36D4">
        <w:rPr>
          <w:rFonts w:ascii="Times New Roman" w:hAnsi="Times New Roman" w:cs="Times New Roman"/>
          <w:sz w:val="16"/>
          <w:szCs w:val="20"/>
        </w:rPr>
        <w:t xml:space="preserve"> (далее – Регламент) и/или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6536D5DE" w14:textId="77777777" w:rsidR="001332E4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20"/>
        </w:rPr>
      </w:pPr>
    </w:p>
    <w:p w14:paraId="03B794EC" w14:textId="77777777" w:rsidR="001332E4" w:rsidRPr="00A72677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Настоящим подтверждаю</w:t>
      </w:r>
      <w:r w:rsidRPr="00A72677">
        <w:rPr>
          <w:rFonts w:ascii="Times New Roman" w:hAnsi="Times New Roman" w:cs="Times New Roman"/>
          <w:sz w:val="16"/>
          <w:szCs w:val="20"/>
        </w:rPr>
        <w:t>:</w:t>
      </w:r>
    </w:p>
    <w:p w14:paraId="34D8CB19" w14:textId="77777777" w:rsidR="001332E4" w:rsidRDefault="001332E4" w:rsidP="001332E4">
      <w:pPr>
        <w:pStyle w:val="af2"/>
        <w:spacing w:after="0" w:line="240" w:lineRule="auto"/>
        <w:ind w:left="1428"/>
        <w:jc w:val="both"/>
        <w:rPr>
          <w:rFonts w:ascii="Times New Roman" w:hAnsi="Times New Roman" w:cs="Times New Roman"/>
          <w:sz w:val="16"/>
          <w:szCs w:val="20"/>
        </w:rPr>
      </w:pPr>
    </w:p>
    <w:p w14:paraId="7BF43BBF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С</w:t>
      </w:r>
      <w:r w:rsidRPr="003F1FA1">
        <w:rPr>
          <w:rFonts w:ascii="Times New Roman" w:hAnsi="Times New Roman" w:cs="Times New Roman"/>
          <w:sz w:val="16"/>
          <w:szCs w:val="20"/>
        </w:rPr>
        <w:t xml:space="preserve"> содержанием Регламента и/или Условий, в том числе с содержанием всех приложений к ним,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Pr="003F1FA1">
        <w:rPr>
          <w:rFonts w:ascii="Times New Roman" w:hAnsi="Times New Roman" w:cs="Times New Roman"/>
          <w:sz w:val="16"/>
          <w:szCs w:val="20"/>
        </w:rPr>
        <w:t xml:space="preserve"> в полном объеме, и они имеют для меня обязательную юридическую силу.</w:t>
      </w:r>
    </w:p>
    <w:p w14:paraId="63A4FB08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совмещении Банком депозитарной деятельности с иными видами профессиональной деятельности на рынке ценных бумаг,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4B3F4A6E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, с содержанием Декларации о рисках (Приложение № 7 к Регламенту), которые могут возникнуть в результате инвестирования на финансовых рынках,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561746B6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О</w:t>
      </w:r>
      <w:r w:rsidRPr="00A72677">
        <w:rPr>
          <w:rFonts w:ascii="Times New Roman" w:hAnsi="Times New Roman" w:cs="Times New Roman"/>
          <w:b/>
          <w:sz w:val="16"/>
          <w:szCs w:val="20"/>
        </w:rPr>
        <w:t>знакомлен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</w:t>
      </w:r>
    </w:p>
    <w:p w14:paraId="56008B68" w14:textId="77777777" w:rsidR="001332E4" w:rsidRPr="00ED36D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В соответствии с Федеральным законом от 27.07.2006 № 152-ФЗ «О персональных данных» настоящим </w:t>
      </w:r>
      <w:r w:rsidRPr="00A72677">
        <w:rPr>
          <w:rFonts w:ascii="Times New Roman" w:hAnsi="Times New Roman" w:cs="Times New Roman"/>
          <w:b/>
          <w:sz w:val="16"/>
          <w:szCs w:val="20"/>
        </w:rPr>
        <w:t>подтверждаю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согласие на обработку Банком всех персональных данных, предоставляемых в рамках Регламента и</w:t>
      </w:r>
      <w:r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 и/или в Приложении №37 к Условиям.</w:t>
      </w:r>
    </w:p>
    <w:p w14:paraId="6DF10612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У</w:t>
      </w:r>
      <w:r w:rsidRPr="00A72677">
        <w:rPr>
          <w:rFonts w:ascii="Times New Roman" w:hAnsi="Times New Roman" w:cs="Times New Roman"/>
          <w:b/>
          <w:sz w:val="16"/>
          <w:szCs w:val="20"/>
        </w:rPr>
        <w:t>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5282D2F4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>У</w:t>
      </w:r>
      <w:r w:rsidRPr="00A72677">
        <w:rPr>
          <w:rFonts w:ascii="Times New Roman" w:hAnsi="Times New Roman" w:cs="Times New Roman"/>
          <w:b/>
          <w:sz w:val="16"/>
          <w:szCs w:val="16"/>
        </w:rPr>
        <w:t>ведомлен</w:t>
      </w:r>
      <w:r w:rsidRPr="00364800">
        <w:rPr>
          <w:rFonts w:ascii="Times New Roman" w:hAnsi="Times New Roman" w:cs="Times New Roman"/>
          <w:sz w:val="16"/>
          <w:szCs w:val="16"/>
        </w:rPr>
        <w:t xml:space="preserve">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13" w:tgtFrame="_blank" w:tooltip="https://sovcombank.ru/pages/reglamenti-i-dokumentatsiya" w:history="1">
        <w:r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14:paraId="7FE3C290" w14:textId="77777777" w:rsidR="001332E4" w:rsidRPr="00A72677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</w:t>
      </w:r>
      <w:r w:rsidRPr="00A72677">
        <w:rPr>
          <w:rFonts w:ascii="Times New Roman" w:hAnsi="Times New Roman" w:cs="Times New Roman"/>
          <w:b/>
          <w:sz w:val="16"/>
          <w:szCs w:val="16"/>
        </w:rPr>
        <w:t xml:space="preserve">знакомлен </w:t>
      </w:r>
      <w:r w:rsidRPr="0022586C">
        <w:rPr>
          <w:rFonts w:ascii="Times New Roman" w:hAnsi="Times New Roman" w:cs="Times New Roman"/>
          <w:sz w:val="16"/>
          <w:szCs w:val="16"/>
        </w:rPr>
        <w:t>с «Информацией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16"/>
        </w:rPr>
        <w:t>» услуг на финансовых рынках».</w:t>
      </w:r>
      <w:r w:rsidRPr="00A7267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5FAC0C0A" w14:textId="77777777"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6656D40A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C117FDE" w14:textId="77777777" w:rsidR="001332E4" w:rsidRPr="00ED36D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36632145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140021B2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14:paraId="64196408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3D1F73DA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14:paraId="5D236EF8" w14:textId="77777777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7AAC5014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F5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3B0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2075AAB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3651249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77B4D77" w14:textId="77777777"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14:paraId="1E47A72B" w14:textId="77777777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57AAFD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1332E4" w:rsidRPr="00ED36D4" w14:paraId="4A4492C9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EEBE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BDD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2861DCE3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F705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807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7FE59399" w14:textId="77777777" w:rsidTr="009A1D8F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9DC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03783C03" w14:textId="77777777" w:rsidR="001332E4" w:rsidRPr="00ED36D4" w:rsidRDefault="001332E4" w:rsidP="009A1D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36A2DF76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37754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  <w:tr w:rsidR="001332E4" w:rsidRPr="00ED36D4" w14:paraId="635E270E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5CBB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4CC28AE9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3BF9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57E31C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332E4" w:rsidRPr="00ED36D4" w14:paraId="4E257327" w14:textId="77777777" w:rsidTr="009A1D8F">
        <w:tc>
          <w:tcPr>
            <w:tcW w:w="10314" w:type="dxa"/>
            <w:shd w:val="clear" w:color="auto" w:fill="F2F2F2" w:themeFill="background1" w:themeFillShade="F2"/>
          </w:tcPr>
          <w:p w14:paraId="6CB09A89" w14:textId="77777777" w:rsidR="001332E4" w:rsidRPr="00ED36D4" w:rsidRDefault="001332E4" w:rsidP="009A1D8F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1332E4" w:rsidRPr="00914466" w14:paraId="02948DD5" w14:textId="77777777" w:rsidTr="009A1D8F">
        <w:trPr>
          <w:trHeight w:val="1416"/>
        </w:trPr>
        <w:tc>
          <w:tcPr>
            <w:tcW w:w="10314" w:type="dxa"/>
          </w:tcPr>
          <w:p w14:paraId="0DBF82E7" w14:textId="77777777" w:rsidR="001332E4" w:rsidRPr="00ED36D4" w:rsidRDefault="001332E4" w:rsidP="009A1D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070D8255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2C4DA303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39738368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F84F40A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4A92F382" w14:textId="77777777" w:rsidR="001332E4" w:rsidRPr="00914466" w:rsidRDefault="001332E4" w:rsidP="009A1D8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2C6AC95C" w14:textId="1DDD61B0" w:rsidR="005878E5" w:rsidRPr="001332E4" w:rsidRDefault="00620EDB" w:rsidP="002D602F">
      <w:pPr>
        <w:tabs>
          <w:tab w:val="left" w:pos="8190"/>
        </w:tabs>
        <w:rPr>
          <w:rFonts w:ascii="Times New Roman" w:hAnsi="Times New Roman" w:cs="Times New Roman"/>
          <w:sz w:val="20"/>
          <w:szCs w:val="20"/>
        </w:rPr>
      </w:pPr>
    </w:p>
    <w:sectPr w:rsidR="005878E5" w:rsidRPr="001332E4" w:rsidSect="001332E4"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62D22" w14:textId="77777777" w:rsidR="00620EDB" w:rsidRDefault="00620EDB" w:rsidP="00914466">
      <w:pPr>
        <w:spacing w:after="0" w:line="240" w:lineRule="auto"/>
      </w:pPr>
      <w:r>
        <w:separator/>
      </w:r>
    </w:p>
    <w:p w14:paraId="2B6E2CD9" w14:textId="77777777" w:rsidR="00620EDB" w:rsidRDefault="00620EDB"/>
  </w:endnote>
  <w:endnote w:type="continuationSeparator" w:id="0">
    <w:p w14:paraId="761A3DA0" w14:textId="77777777" w:rsidR="00620EDB" w:rsidRDefault="00620EDB" w:rsidP="00914466">
      <w:pPr>
        <w:spacing w:after="0" w:line="240" w:lineRule="auto"/>
      </w:pPr>
      <w:r>
        <w:continuationSeparator/>
      </w:r>
    </w:p>
    <w:p w14:paraId="67BB196F" w14:textId="77777777" w:rsidR="00620EDB" w:rsidRDefault="00620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000B1692"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r w:rsidRPr="00914466">
      <w:rPr>
        <w:rFonts w:ascii="Times New Roman" w:hAnsi="Times New Roman" w:cs="Times New Roman"/>
        <w:sz w:val="20"/>
        <w:szCs w:val="20"/>
      </w:rPr>
      <w:t>_____________________________________</w:t>
    </w:r>
    <w:r w:rsidDel="000E08EB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br/>
    </w:r>
    <w:r w:rsidRPr="00914466">
      <w:rPr>
        <w:rFonts w:ascii="Times New Roman" w:hAnsi="Times New Roman" w:cs="Times New Roman"/>
        <w:sz w:val="20"/>
        <w:szCs w:val="20"/>
      </w:rPr>
      <w:t>(</w:t>
    </w:r>
    <w:r w:rsidRPr="00AC7D9F">
      <w:rPr>
        <w:rFonts w:ascii="Times New Roman" w:hAnsi="Times New Roman" w:cs="Times New Roman"/>
        <w:i/>
        <w:sz w:val="16"/>
        <w:szCs w:val="16"/>
      </w:rPr>
      <w:t>Подпись клиента/представителя клиента</w:t>
    </w:r>
    <w:r w:rsidRPr="005373B8">
      <w:rPr>
        <w:rFonts w:ascii="Times New Roman" w:hAnsi="Times New Roman" w:cs="Times New Roman"/>
        <w:sz w:val="16"/>
        <w:szCs w:val="16"/>
      </w:rPr>
      <w:t>)</w:t>
    </w:r>
    <w:r>
      <w:rPr>
        <w:rFonts w:ascii="Times New Roman" w:hAnsi="Times New Roman" w:cs="Times New Roman"/>
        <w:sz w:val="16"/>
        <w:szCs w:val="16"/>
      </w:rPr>
      <w:br/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55412F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3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55412F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4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  <w:p w14:paraId="56520AE1" w14:textId="77777777" w:rsidR="00FB3D20" w:rsidRDefault="00FB3D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27B7459F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5412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5412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  <w:p w14:paraId="436FCA3F" w14:textId="77777777" w:rsidR="00FB3D20" w:rsidRDefault="00FB3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E74ED" w14:textId="77777777" w:rsidR="00620EDB" w:rsidRDefault="00620EDB" w:rsidP="00914466">
      <w:pPr>
        <w:spacing w:after="0" w:line="240" w:lineRule="auto"/>
      </w:pPr>
      <w:r>
        <w:separator/>
      </w:r>
    </w:p>
    <w:p w14:paraId="50D85D25" w14:textId="77777777" w:rsidR="00620EDB" w:rsidRDefault="00620EDB"/>
  </w:footnote>
  <w:footnote w:type="continuationSeparator" w:id="0">
    <w:p w14:paraId="48C3A9FF" w14:textId="77777777" w:rsidR="00620EDB" w:rsidRDefault="00620EDB" w:rsidP="00914466">
      <w:pPr>
        <w:spacing w:after="0" w:line="240" w:lineRule="auto"/>
      </w:pPr>
      <w:r>
        <w:continuationSeparator/>
      </w:r>
    </w:p>
    <w:p w14:paraId="155D71BB" w14:textId="77777777" w:rsidR="00620EDB" w:rsidRDefault="00620EDB"/>
  </w:footnote>
  <w:footnote w:id="1">
    <w:p w14:paraId="2F207DD2" w14:textId="77777777" w:rsidR="003F1FA1" w:rsidRDefault="003F1FA1" w:rsidP="003F1FA1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И</w:t>
      </w:r>
      <w:r w:rsidRPr="00EB1B41">
        <w:rPr>
          <w:rFonts w:ascii="Times New Roman" w:hAnsi="Times New Roman" w:cs="Times New Roman"/>
          <w:sz w:val="16"/>
          <w:szCs w:val="16"/>
        </w:rPr>
        <w:t xml:space="preserve">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брокерских услуг на финансовых рынках предоставляется Банком </w:t>
      </w:r>
      <w:r w:rsidRPr="00EB1B41">
        <w:rPr>
          <w:rFonts w:ascii="Times New Roman" w:hAnsi="Times New Roman" w:cs="Times New Roman"/>
          <w:sz w:val="16"/>
          <w:szCs w:val="16"/>
        </w:rPr>
        <w:t>в соответствии с рекомендациями Банка России</w:t>
      </w:r>
      <w:r>
        <w:rPr>
          <w:rFonts w:ascii="Times New Roman" w:hAnsi="Times New Roman" w:cs="Times New Roman"/>
          <w:sz w:val="16"/>
          <w:szCs w:val="16"/>
        </w:rPr>
        <w:t xml:space="preserve">, в целях упрощения </w:t>
      </w:r>
      <w:r w:rsidRPr="00EB1B41">
        <w:rPr>
          <w:rFonts w:ascii="Times New Roman" w:hAnsi="Times New Roman" w:cs="Times New Roman"/>
          <w:sz w:val="16"/>
          <w:szCs w:val="16"/>
        </w:rPr>
        <w:t>восприятия и понимания физическими лицами - получателями финансовых услуг, оказываемых брокерами, важной информации об указанных услугах, минимизации рисков инвесторов, реализацию которых может повлечь отсутствие у них возможности полностью ознакомиться с большим объемом содержащейся в договоре о брокерском обслуживании (регламенте, определяющем порядок оказания брокерских услуг, или ином аналогичном документе)</w:t>
      </w:r>
      <w:r>
        <w:rPr>
          <w:rFonts w:ascii="Times New Roman" w:hAnsi="Times New Roman" w:cs="Times New Roman"/>
          <w:sz w:val="16"/>
          <w:szCs w:val="16"/>
        </w:rPr>
        <w:t xml:space="preserve"> информации</w:t>
      </w:r>
      <w:r w:rsidRPr="00EB1B41">
        <w:rPr>
          <w:rFonts w:ascii="Times New Roman" w:hAnsi="Times New Roman" w:cs="Times New Roman"/>
          <w:sz w:val="16"/>
          <w:szCs w:val="16"/>
        </w:rPr>
        <w:t xml:space="preserve">. Банк обращает Ваше внимание, что данная в Заявлении о присоединении информация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услуг на финансовых рынках предоставляется в краткой форме, и не снимает с клиентов обязанности ознакомиться с полным текстом </w:t>
      </w:r>
      <w:r w:rsidRPr="00ED36D4">
        <w:rPr>
          <w:rFonts w:ascii="Times New Roman" w:hAnsi="Times New Roman" w:cs="Times New Roman"/>
          <w:sz w:val="16"/>
          <w:szCs w:val="16"/>
        </w:rPr>
        <w:t>Регламент</w:t>
      </w:r>
      <w:r>
        <w:rPr>
          <w:rFonts w:ascii="Times New Roman" w:hAnsi="Times New Roman" w:cs="Times New Roman"/>
          <w:sz w:val="16"/>
          <w:szCs w:val="16"/>
        </w:rPr>
        <w:t>а</w:t>
      </w:r>
      <w:r w:rsidRPr="00ED36D4">
        <w:rPr>
          <w:rFonts w:ascii="Times New Roman" w:hAnsi="Times New Roman" w:cs="Times New Roman"/>
          <w:sz w:val="16"/>
          <w:szCs w:val="16"/>
        </w:rPr>
        <w:t xml:space="preserve">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</w:rPr>
        <w:t xml:space="preserve"> до начала заключения сделок на финансовых рынках.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 2</w:t>
    </w:r>
  </w:p>
  <w:p w14:paraId="154B5400" w14:textId="77777777" w:rsidR="00790E8D" w:rsidRPr="0022586C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Регламенту оказания услуг на финансовых рынках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  <w:p w14:paraId="3D1F064F" w14:textId="64D960D8" w:rsidR="00914466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и к Условиям осуществления депозитарной деятельности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6BEA385C" w14:textId="77777777" w:rsidR="00FB3D20" w:rsidRDefault="00FB3D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65C1"/>
    <w:rsid w:val="00087049"/>
    <w:rsid w:val="000D30B2"/>
    <w:rsid w:val="000E08EB"/>
    <w:rsid w:val="000F4FFE"/>
    <w:rsid w:val="001055C8"/>
    <w:rsid w:val="001332E4"/>
    <w:rsid w:val="00146CF3"/>
    <w:rsid w:val="001B0D83"/>
    <w:rsid w:val="001F74FD"/>
    <w:rsid w:val="0022586C"/>
    <w:rsid w:val="00266DC7"/>
    <w:rsid w:val="00272D44"/>
    <w:rsid w:val="002A1733"/>
    <w:rsid w:val="002B3958"/>
    <w:rsid w:val="002C67EF"/>
    <w:rsid w:val="002D602F"/>
    <w:rsid w:val="00305DD2"/>
    <w:rsid w:val="00306F78"/>
    <w:rsid w:val="00364800"/>
    <w:rsid w:val="00392961"/>
    <w:rsid w:val="003D08B6"/>
    <w:rsid w:val="003F1FA1"/>
    <w:rsid w:val="004046D9"/>
    <w:rsid w:val="004104BC"/>
    <w:rsid w:val="00455605"/>
    <w:rsid w:val="00471619"/>
    <w:rsid w:val="004D4391"/>
    <w:rsid w:val="005373B8"/>
    <w:rsid w:val="0055412F"/>
    <w:rsid w:val="00557267"/>
    <w:rsid w:val="005B0B7E"/>
    <w:rsid w:val="005B25D2"/>
    <w:rsid w:val="006141A7"/>
    <w:rsid w:val="006153E3"/>
    <w:rsid w:val="00620EDB"/>
    <w:rsid w:val="00661322"/>
    <w:rsid w:val="006715C3"/>
    <w:rsid w:val="0067566D"/>
    <w:rsid w:val="007042D1"/>
    <w:rsid w:val="00713F9F"/>
    <w:rsid w:val="00714B38"/>
    <w:rsid w:val="00734B1A"/>
    <w:rsid w:val="00752100"/>
    <w:rsid w:val="007616D5"/>
    <w:rsid w:val="00765D71"/>
    <w:rsid w:val="00790E8D"/>
    <w:rsid w:val="007B50FC"/>
    <w:rsid w:val="007B5979"/>
    <w:rsid w:val="007D7A92"/>
    <w:rsid w:val="00873E50"/>
    <w:rsid w:val="00885E6A"/>
    <w:rsid w:val="0089313B"/>
    <w:rsid w:val="008F15DD"/>
    <w:rsid w:val="008F712D"/>
    <w:rsid w:val="00901A93"/>
    <w:rsid w:val="00903BF7"/>
    <w:rsid w:val="0091221B"/>
    <w:rsid w:val="00914466"/>
    <w:rsid w:val="00924877"/>
    <w:rsid w:val="009433FB"/>
    <w:rsid w:val="00976A19"/>
    <w:rsid w:val="0099311D"/>
    <w:rsid w:val="00A12E7E"/>
    <w:rsid w:val="00A20D79"/>
    <w:rsid w:val="00A66DDC"/>
    <w:rsid w:val="00A72677"/>
    <w:rsid w:val="00A83D01"/>
    <w:rsid w:val="00AA0673"/>
    <w:rsid w:val="00AA4870"/>
    <w:rsid w:val="00AC7D9F"/>
    <w:rsid w:val="00AD14AB"/>
    <w:rsid w:val="00AD4D01"/>
    <w:rsid w:val="00AF5807"/>
    <w:rsid w:val="00B313A2"/>
    <w:rsid w:val="00B864D1"/>
    <w:rsid w:val="00BA1A02"/>
    <w:rsid w:val="00BE0348"/>
    <w:rsid w:val="00BE6C83"/>
    <w:rsid w:val="00BF3E8F"/>
    <w:rsid w:val="00C0364B"/>
    <w:rsid w:val="00C158B0"/>
    <w:rsid w:val="00C36535"/>
    <w:rsid w:val="00C36F2D"/>
    <w:rsid w:val="00C610C2"/>
    <w:rsid w:val="00C633B6"/>
    <w:rsid w:val="00C727AA"/>
    <w:rsid w:val="00C90BFB"/>
    <w:rsid w:val="00D41D4A"/>
    <w:rsid w:val="00D447E4"/>
    <w:rsid w:val="00D846E2"/>
    <w:rsid w:val="00D974FB"/>
    <w:rsid w:val="00DC0F65"/>
    <w:rsid w:val="00DF5A03"/>
    <w:rsid w:val="00E12F4C"/>
    <w:rsid w:val="00E33EE3"/>
    <w:rsid w:val="00E60279"/>
    <w:rsid w:val="00E94A7E"/>
    <w:rsid w:val="00EB1B41"/>
    <w:rsid w:val="00ED2E18"/>
    <w:rsid w:val="00ED36D4"/>
    <w:rsid w:val="00ED570E"/>
    <w:rsid w:val="00EF308F"/>
    <w:rsid w:val="00F24807"/>
    <w:rsid w:val="00F32856"/>
    <w:rsid w:val="00FB3D20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combank.ru/pages/reglamenti-i-dokumentatsiya" TargetMode="External"/><Relationship Id="rId13" Type="http://schemas.openxmlformats.org/officeDocument/2006/relationships/hyperlink" Target="https://sovcombank.ru/pages/reglamenti-i-dokumentatsi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C5B6D-2208-40D1-A4B7-04C2BAAEB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3160</Words>
  <Characters>18018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Титенок Дмитрий Эдуардович</cp:lastModifiedBy>
  <cp:revision>5</cp:revision>
  <cp:lastPrinted>2023-09-26T15:25:00Z</cp:lastPrinted>
  <dcterms:created xsi:type="dcterms:W3CDTF">2023-10-10T08:39:00Z</dcterms:created>
  <dcterms:modified xsi:type="dcterms:W3CDTF">2023-10-10T14:15:00Z</dcterms:modified>
</cp:coreProperties>
</file>